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2D3" w:rsidRPr="00585E76" w:rsidRDefault="008972D3" w:rsidP="00585E76">
      <w:pPr>
        <w:tabs>
          <w:tab w:val="left" w:pos="7200"/>
        </w:tabs>
        <w:spacing w:line="480" w:lineRule="auto"/>
        <w:rPr>
          <w:rFonts w:ascii="Times New Roman" w:hAnsi="Times New Roman" w:cs="Times New Roman"/>
          <w:sz w:val="24"/>
          <w:szCs w:val="24"/>
        </w:rPr>
      </w:pPr>
      <w:r w:rsidRPr="00585E76">
        <w:rPr>
          <w:rFonts w:ascii="Times New Roman" w:hAnsi="Times New Roman" w:cs="Times New Roman"/>
          <w:sz w:val="24"/>
          <w:szCs w:val="24"/>
        </w:rPr>
        <w:tab/>
      </w:r>
    </w:p>
    <w:p w:rsidR="008972D3" w:rsidRPr="00585E76" w:rsidRDefault="008972D3" w:rsidP="00585E76">
      <w:pPr>
        <w:spacing w:line="480" w:lineRule="auto"/>
        <w:rPr>
          <w:rFonts w:ascii="Times New Roman" w:hAnsi="Times New Roman" w:cs="Times New Roman"/>
          <w:sz w:val="24"/>
          <w:szCs w:val="24"/>
        </w:rPr>
      </w:pPr>
    </w:p>
    <w:p w:rsidR="008972D3" w:rsidRPr="00585E76" w:rsidRDefault="008972D3" w:rsidP="00585E76">
      <w:pPr>
        <w:spacing w:line="480" w:lineRule="auto"/>
        <w:jc w:val="center"/>
        <w:rPr>
          <w:rFonts w:ascii="Times New Roman" w:hAnsi="Times New Roman" w:cs="Times New Roman"/>
          <w:sz w:val="24"/>
          <w:szCs w:val="24"/>
        </w:rPr>
      </w:pPr>
    </w:p>
    <w:p w:rsidR="008972D3" w:rsidRPr="00585E76" w:rsidRDefault="008972D3" w:rsidP="00585E76">
      <w:pPr>
        <w:spacing w:line="480" w:lineRule="auto"/>
        <w:jc w:val="center"/>
        <w:rPr>
          <w:rFonts w:ascii="Times New Roman" w:hAnsi="Times New Roman" w:cs="Times New Roman"/>
          <w:sz w:val="24"/>
          <w:szCs w:val="24"/>
        </w:rPr>
      </w:pPr>
    </w:p>
    <w:p w:rsidR="008972D3" w:rsidRPr="00585E76" w:rsidRDefault="008972D3" w:rsidP="00585E76">
      <w:pPr>
        <w:spacing w:line="480" w:lineRule="auto"/>
        <w:jc w:val="center"/>
        <w:rPr>
          <w:rFonts w:ascii="Times New Roman" w:hAnsi="Times New Roman" w:cs="Times New Roman"/>
          <w:sz w:val="24"/>
          <w:szCs w:val="24"/>
        </w:rPr>
      </w:pPr>
      <w:r w:rsidRPr="00585E76">
        <w:rPr>
          <w:rFonts w:ascii="Times New Roman" w:hAnsi="Times New Roman" w:cs="Times New Roman"/>
          <w:sz w:val="24"/>
          <w:szCs w:val="24"/>
        </w:rPr>
        <w:t>Workers' Protections</w:t>
      </w:r>
    </w:p>
    <w:p w:rsidR="008972D3" w:rsidRPr="00585E76" w:rsidRDefault="000D426E" w:rsidP="00585E7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72D3" w:rsidRPr="00585E76" w:rsidRDefault="000D426E" w:rsidP="00585E76">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972D3" w:rsidRPr="00585E76" w:rsidRDefault="008972D3" w:rsidP="00585E76">
      <w:pPr>
        <w:spacing w:line="480" w:lineRule="auto"/>
        <w:rPr>
          <w:rFonts w:ascii="Times New Roman" w:hAnsi="Times New Roman" w:cs="Times New Roman"/>
          <w:sz w:val="24"/>
          <w:szCs w:val="24"/>
        </w:rPr>
      </w:pPr>
    </w:p>
    <w:p w:rsidR="008972D3" w:rsidRPr="00585E76" w:rsidRDefault="008972D3" w:rsidP="00585E76">
      <w:pPr>
        <w:spacing w:line="480" w:lineRule="auto"/>
        <w:rPr>
          <w:rFonts w:ascii="Times New Roman" w:hAnsi="Times New Roman" w:cs="Times New Roman"/>
          <w:sz w:val="24"/>
          <w:szCs w:val="24"/>
        </w:rPr>
      </w:pPr>
    </w:p>
    <w:p w:rsidR="008972D3" w:rsidRPr="00585E76" w:rsidRDefault="008972D3" w:rsidP="00585E76">
      <w:pPr>
        <w:spacing w:line="480" w:lineRule="auto"/>
        <w:rPr>
          <w:rFonts w:ascii="Times New Roman" w:hAnsi="Times New Roman" w:cs="Times New Roman"/>
          <w:sz w:val="24"/>
          <w:szCs w:val="24"/>
        </w:rPr>
      </w:pPr>
    </w:p>
    <w:p w:rsidR="008972D3" w:rsidRPr="00585E76" w:rsidRDefault="008972D3" w:rsidP="00585E76">
      <w:pPr>
        <w:spacing w:line="480" w:lineRule="auto"/>
        <w:rPr>
          <w:rFonts w:ascii="Times New Roman" w:hAnsi="Times New Roman" w:cs="Times New Roman"/>
          <w:sz w:val="24"/>
          <w:szCs w:val="24"/>
        </w:rPr>
      </w:pPr>
    </w:p>
    <w:p w:rsidR="008972D3" w:rsidRPr="00585E76" w:rsidRDefault="008972D3" w:rsidP="00585E76">
      <w:pPr>
        <w:spacing w:line="480" w:lineRule="auto"/>
        <w:rPr>
          <w:rFonts w:ascii="Times New Roman" w:hAnsi="Times New Roman" w:cs="Times New Roman"/>
          <w:sz w:val="24"/>
          <w:szCs w:val="24"/>
        </w:rPr>
      </w:pPr>
    </w:p>
    <w:p w:rsidR="008972D3" w:rsidRPr="00585E76" w:rsidRDefault="008972D3" w:rsidP="00585E76">
      <w:pPr>
        <w:spacing w:line="480" w:lineRule="auto"/>
        <w:rPr>
          <w:rFonts w:ascii="Times New Roman" w:hAnsi="Times New Roman" w:cs="Times New Roman"/>
          <w:sz w:val="24"/>
          <w:szCs w:val="24"/>
          <w:shd w:val="clear" w:color="auto" w:fill="FFFFFF"/>
        </w:rPr>
      </w:pPr>
    </w:p>
    <w:p w:rsidR="008972D3" w:rsidRPr="00585E76" w:rsidRDefault="008972D3" w:rsidP="00585E76">
      <w:pPr>
        <w:spacing w:line="480" w:lineRule="auto"/>
        <w:rPr>
          <w:rFonts w:ascii="Times New Roman" w:hAnsi="Times New Roman" w:cs="Times New Roman"/>
          <w:sz w:val="24"/>
          <w:szCs w:val="24"/>
          <w:shd w:val="clear" w:color="auto" w:fill="FFFFFF"/>
        </w:rPr>
      </w:pPr>
    </w:p>
    <w:p w:rsidR="008972D3" w:rsidRPr="00585E76" w:rsidRDefault="008972D3" w:rsidP="00585E76">
      <w:pPr>
        <w:spacing w:line="480" w:lineRule="auto"/>
        <w:rPr>
          <w:rFonts w:ascii="Times New Roman" w:hAnsi="Times New Roman" w:cs="Times New Roman"/>
          <w:sz w:val="24"/>
          <w:szCs w:val="24"/>
          <w:shd w:val="clear" w:color="auto" w:fill="FFFFFF"/>
        </w:rPr>
      </w:pPr>
    </w:p>
    <w:p w:rsidR="008972D3" w:rsidRPr="00585E76" w:rsidRDefault="008972D3" w:rsidP="00585E76">
      <w:pPr>
        <w:spacing w:line="480" w:lineRule="auto"/>
        <w:rPr>
          <w:rFonts w:ascii="Times New Roman" w:hAnsi="Times New Roman" w:cs="Times New Roman"/>
          <w:sz w:val="24"/>
          <w:szCs w:val="24"/>
          <w:shd w:val="clear" w:color="auto" w:fill="FFFFFF"/>
        </w:rPr>
      </w:pPr>
    </w:p>
    <w:p w:rsidR="008972D3" w:rsidRPr="00585E76" w:rsidRDefault="008972D3" w:rsidP="00585E76">
      <w:pPr>
        <w:spacing w:line="480" w:lineRule="auto"/>
        <w:rPr>
          <w:rFonts w:ascii="Times New Roman" w:hAnsi="Times New Roman" w:cs="Times New Roman"/>
          <w:b/>
          <w:sz w:val="24"/>
          <w:szCs w:val="24"/>
          <w:shd w:val="clear" w:color="auto" w:fill="FFFFFF"/>
        </w:rPr>
      </w:pPr>
    </w:p>
    <w:p w:rsidR="008972D3" w:rsidRPr="00585E76" w:rsidRDefault="008972D3" w:rsidP="00585E76">
      <w:pPr>
        <w:spacing w:line="480" w:lineRule="auto"/>
        <w:rPr>
          <w:rFonts w:ascii="Times New Roman" w:hAnsi="Times New Roman" w:cs="Times New Roman"/>
          <w:sz w:val="24"/>
          <w:szCs w:val="24"/>
        </w:rPr>
      </w:pPr>
    </w:p>
    <w:p w:rsidR="00043D4A" w:rsidRPr="00585E76" w:rsidRDefault="00043D4A" w:rsidP="00585E76">
      <w:pPr>
        <w:spacing w:line="480" w:lineRule="auto"/>
        <w:jc w:val="center"/>
        <w:rPr>
          <w:rFonts w:ascii="Times New Roman" w:hAnsi="Times New Roman" w:cs="Times New Roman"/>
          <w:sz w:val="24"/>
          <w:szCs w:val="24"/>
        </w:rPr>
      </w:pPr>
      <w:r w:rsidRPr="00585E76">
        <w:rPr>
          <w:rFonts w:ascii="Times New Roman" w:hAnsi="Times New Roman" w:cs="Times New Roman"/>
          <w:sz w:val="24"/>
          <w:szCs w:val="24"/>
        </w:rPr>
        <w:lastRenderedPageBreak/>
        <w:t>Workers' Protections</w:t>
      </w:r>
    </w:p>
    <w:p w:rsidR="00EC697B" w:rsidRPr="00585E76" w:rsidRDefault="00043D4A" w:rsidP="00585E76">
      <w:pPr>
        <w:spacing w:line="480" w:lineRule="auto"/>
        <w:ind w:firstLine="720"/>
        <w:rPr>
          <w:rFonts w:ascii="Times New Roman" w:hAnsi="Times New Roman" w:cs="Times New Roman"/>
          <w:sz w:val="24"/>
          <w:szCs w:val="24"/>
        </w:rPr>
      </w:pPr>
      <w:r w:rsidRPr="00585E76">
        <w:rPr>
          <w:rFonts w:ascii="Times New Roman" w:hAnsi="Times New Roman" w:cs="Times New Roman"/>
          <w:sz w:val="24"/>
          <w:szCs w:val="24"/>
        </w:rPr>
        <w:t xml:space="preserve">Employees working in the United States are provided with plenty of rights which are aimed at ensuring that their working conditions are fair and safe. The rights protecting employees’ interests may be divided into different categories, which may include workplace safety, compensation, rights about discrimination, and working hours and pay. Therefore, worker rights are fundamentally essential in every organization’s human resource department. Employers and companies that disregard these rights risk penalties, which may include fines and permit cancellation. Therefore, there is a need for those in the workforce to understand their rights which are provided in the law so that they can file complaints when their rights are violated. To understand how states protect employees in the United States, the literature will identify and describe the laws established in Texas to protect employees in areas such as race, gender, and whistleblowing. </w:t>
      </w:r>
    </w:p>
    <w:p w:rsidR="00EC697B" w:rsidRPr="00585E76" w:rsidRDefault="00043D4A" w:rsidP="00585E76">
      <w:pPr>
        <w:spacing w:line="480" w:lineRule="auto"/>
        <w:ind w:firstLine="720"/>
        <w:rPr>
          <w:rFonts w:ascii="Times New Roman" w:hAnsi="Times New Roman" w:cs="Times New Roman"/>
          <w:sz w:val="24"/>
          <w:szCs w:val="24"/>
        </w:rPr>
      </w:pPr>
      <w:r w:rsidRPr="00585E76">
        <w:rPr>
          <w:rFonts w:ascii="Times New Roman" w:hAnsi="Times New Roman" w:cs="Times New Roman"/>
          <w:sz w:val="24"/>
          <w:szCs w:val="24"/>
        </w:rPr>
        <w:t>In the United States, the federal government is responsible for establishing the standards for workers protection; this includes laws forbidding and preventing discrimination as well as federal minimum wage. However, the states develop and implement employment laws which are mainly aimed at reinforcing and heightening the national or appending new protections (</w:t>
      </w:r>
      <w:proofErr w:type="spellStart"/>
      <w:r w:rsidRPr="00585E76">
        <w:rPr>
          <w:rFonts w:ascii="Times New Roman" w:hAnsi="Times New Roman" w:cs="Times New Roman"/>
          <w:sz w:val="24"/>
          <w:szCs w:val="24"/>
        </w:rPr>
        <w:t>FindLaw</w:t>
      </w:r>
      <w:proofErr w:type="spellEnd"/>
      <w:r w:rsidRPr="00585E76">
        <w:rPr>
          <w:rFonts w:ascii="Times New Roman" w:hAnsi="Times New Roman" w:cs="Times New Roman"/>
          <w:sz w:val="24"/>
          <w:szCs w:val="24"/>
        </w:rPr>
        <w:t>, 2019). Therefore, it is essential for both employees and employers in Texas to familiarize themselves with both federal and state employment laws before starting to operate. This can help in ensuring that all parties do not misundersta</w:t>
      </w:r>
      <w:r w:rsidR="00EC697B" w:rsidRPr="00585E76">
        <w:rPr>
          <w:rFonts w:ascii="Times New Roman" w:hAnsi="Times New Roman" w:cs="Times New Roman"/>
          <w:sz w:val="24"/>
          <w:szCs w:val="24"/>
        </w:rPr>
        <w:t>nd what is required by the law.</w:t>
      </w:r>
    </w:p>
    <w:p w:rsidR="00EC697B" w:rsidRPr="00585E76" w:rsidRDefault="00043D4A" w:rsidP="00585E76">
      <w:pPr>
        <w:spacing w:line="480" w:lineRule="auto"/>
        <w:ind w:firstLine="720"/>
        <w:rPr>
          <w:rFonts w:ascii="Times New Roman" w:hAnsi="Times New Roman" w:cs="Times New Roman"/>
          <w:sz w:val="24"/>
          <w:szCs w:val="24"/>
        </w:rPr>
      </w:pPr>
      <w:r w:rsidRPr="00585E76">
        <w:rPr>
          <w:rFonts w:ascii="Times New Roman" w:hAnsi="Times New Roman" w:cs="Times New Roman"/>
          <w:sz w:val="24"/>
          <w:szCs w:val="24"/>
        </w:rPr>
        <w:t xml:space="preserve">Texas has implemented laws to protect employees from Race-related issues. Chapter 12 of Texas Labor Code and the Civil Rights Act of 1964 safeguards workers from </w:t>
      </w:r>
      <w:r w:rsidR="00314F68">
        <w:rPr>
          <w:rFonts w:ascii="Times New Roman" w:hAnsi="Times New Roman" w:cs="Times New Roman"/>
          <w:sz w:val="24"/>
          <w:szCs w:val="24"/>
        </w:rPr>
        <w:t xml:space="preserve">discrimination of employees </w:t>
      </w:r>
      <w:r w:rsidRPr="00585E76">
        <w:rPr>
          <w:rFonts w:ascii="Times New Roman" w:hAnsi="Times New Roman" w:cs="Times New Roman"/>
          <w:sz w:val="24"/>
          <w:szCs w:val="24"/>
        </w:rPr>
        <w:t xml:space="preserve">on the basis on their race (Texas Workforce Commission, 2019). These regulations ensure that employees do not single out workers or applicants during the process of hiring, </w:t>
      </w:r>
      <w:r w:rsidRPr="00585E76">
        <w:rPr>
          <w:rFonts w:ascii="Times New Roman" w:hAnsi="Times New Roman" w:cs="Times New Roman"/>
          <w:sz w:val="24"/>
          <w:szCs w:val="24"/>
        </w:rPr>
        <w:lastRenderedPageBreak/>
        <w:t xml:space="preserve">termination of a contract, and during promotion and compensation. Organizations are expected to treat their employees equally and not individuals or groups of employees should receive special conditions or privilege over other (Texas Workforce Commission, 2019). Most importantly, employers should be cautious and understand what is expected of them; this law covers to employers with fifteen or more workers and all other state and local government institutions regardless of the </w:t>
      </w:r>
      <w:r w:rsidR="00EC697B" w:rsidRPr="00585E76">
        <w:rPr>
          <w:rFonts w:ascii="Times New Roman" w:hAnsi="Times New Roman" w:cs="Times New Roman"/>
          <w:sz w:val="24"/>
          <w:szCs w:val="24"/>
        </w:rPr>
        <w:t xml:space="preserve">number of employees they have. </w:t>
      </w:r>
    </w:p>
    <w:p w:rsidR="00EC697B" w:rsidRPr="00585E76" w:rsidRDefault="00043D4A" w:rsidP="00585E76">
      <w:pPr>
        <w:spacing w:line="480" w:lineRule="auto"/>
        <w:ind w:firstLine="720"/>
        <w:rPr>
          <w:rFonts w:ascii="Times New Roman" w:hAnsi="Times New Roman" w:cs="Times New Roman"/>
          <w:sz w:val="24"/>
          <w:szCs w:val="24"/>
        </w:rPr>
      </w:pPr>
      <w:r w:rsidRPr="00585E76">
        <w:rPr>
          <w:rFonts w:ascii="Times New Roman" w:hAnsi="Times New Roman" w:cs="Times New Roman"/>
          <w:sz w:val="24"/>
          <w:szCs w:val="24"/>
        </w:rPr>
        <w:t>Based on the laws guarding employees against racial discrimination, employers, therefore, cannot make decisions in an organization based on employees’ race, their association with people of a different race as well as their participation in activities associated with people of a particular race. Workers in Texas who may feel discriminated against may decide to file a complaint Equal Employment Opportunity Commission which probes and investigates complaints and works as a mediator is solving the disputes that may exist between</w:t>
      </w:r>
      <w:r w:rsidR="00EC697B" w:rsidRPr="00585E76">
        <w:rPr>
          <w:rFonts w:ascii="Times New Roman" w:hAnsi="Times New Roman" w:cs="Times New Roman"/>
          <w:sz w:val="24"/>
          <w:szCs w:val="24"/>
        </w:rPr>
        <w:t xml:space="preserve"> employees and their employers.</w:t>
      </w:r>
    </w:p>
    <w:p w:rsidR="00EC697B" w:rsidRPr="00585E76" w:rsidRDefault="00043D4A" w:rsidP="00585E76">
      <w:pPr>
        <w:spacing w:line="480" w:lineRule="auto"/>
        <w:ind w:firstLine="720"/>
        <w:rPr>
          <w:rFonts w:ascii="Times New Roman" w:hAnsi="Times New Roman" w:cs="Times New Roman"/>
          <w:sz w:val="24"/>
          <w:szCs w:val="24"/>
        </w:rPr>
      </w:pPr>
      <w:r w:rsidRPr="00585E76">
        <w:rPr>
          <w:rFonts w:ascii="Times New Roman" w:hAnsi="Times New Roman" w:cs="Times New Roman"/>
          <w:sz w:val="24"/>
          <w:szCs w:val="24"/>
        </w:rPr>
        <w:t xml:space="preserve">Texas has implemented regulations to protect workers from gender discrimination. This type of bias and unfairness mainly happens when decisions in a company or organizations are made based on one’s sex. It is essential to understand that gender discrimination encompasses several issues, and it might occur as a result of actual or perceived sex, the appearance of an employee and gender identity. Obtaining a skilled legal representative is an effective way for individuals who have faced gender discrimination to get adequate compensation for the pain and suffering caused and lost wages. Gender discrimination in a company may result from sexist comments, declining to hire someone because of his or her gender and denying a staff promotion or other benefits based on gender. The groups of employees that are likely to encounter gender discrimination in Texas include Lesbian, gay, bisexual, and transgender. Despite facing the </w:t>
      </w:r>
      <w:r w:rsidRPr="00585E76">
        <w:rPr>
          <w:rFonts w:ascii="Times New Roman" w:hAnsi="Times New Roman" w:cs="Times New Roman"/>
          <w:sz w:val="24"/>
          <w:szCs w:val="24"/>
        </w:rPr>
        <w:lastRenderedPageBreak/>
        <w:t>discrimination seminal to those faced by LGBTQ group, they are also required to overcome other challenges that are unique to them. It is estimated that about 79 percent of transgender employees in Texas h</w:t>
      </w:r>
      <w:r w:rsidR="00EC697B" w:rsidRPr="00585E76">
        <w:rPr>
          <w:rFonts w:ascii="Times New Roman" w:hAnsi="Times New Roman" w:cs="Times New Roman"/>
          <w:sz w:val="24"/>
          <w:szCs w:val="24"/>
        </w:rPr>
        <w:t>ave encountered discrimination.</w:t>
      </w:r>
    </w:p>
    <w:p w:rsidR="00EC697B" w:rsidRPr="00585E76" w:rsidRDefault="00043D4A" w:rsidP="00585E76">
      <w:pPr>
        <w:spacing w:line="480" w:lineRule="auto"/>
        <w:ind w:firstLine="720"/>
        <w:rPr>
          <w:rFonts w:ascii="Times New Roman" w:hAnsi="Times New Roman" w:cs="Times New Roman"/>
          <w:sz w:val="24"/>
          <w:szCs w:val="24"/>
        </w:rPr>
      </w:pPr>
      <w:r w:rsidRPr="00585E76">
        <w:rPr>
          <w:rFonts w:ascii="Times New Roman" w:hAnsi="Times New Roman" w:cs="Times New Roman"/>
          <w:sz w:val="24"/>
          <w:szCs w:val="24"/>
        </w:rPr>
        <w:t xml:space="preserve">Transgender workers in Texas are protected by the law and recently-issued decision in </w:t>
      </w:r>
      <w:proofErr w:type="spellStart"/>
      <w:r w:rsidRPr="00585E76">
        <w:rPr>
          <w:rFonts w:ascii="Times New Roman" w:hAnsi="Times New Roman" w:cs="Times New Roman"/>
          <w:sz w:val="24"/>
          <w:szCs w:val="24"/>
        </w:rPr>
        <w:t>Wittmer</w:t>
      </w:r>
      <w:proofErr w:type="spellEnd"/>
      <w:r w:rsidRPr="00585E76">
        <w:rPr>
          <w:rFonts w:ascii="Times New Roman" w:hAnsi="Times New Roman" w:cs="Times New Roman"/>
          <w:sz w:val="24"/>
          <w:szCs w:val="24"/>
        </w:rPr>
        <w:t xml:space="preserve"> v. Phillips 66 Company Background</w:t>
      </w:r>
      <w:bookmarkStart w:id="0" w:name="_GoBack"/>
      <w:bookmarkEnd w:id="0"/>
      <w:r w:rsidRPr="00585E76">
        <w:rPr>
          <w:rFonts w:ascii="Times New Roman" w:hAnsi="Times New Roman" w:cs="Times New Roman"/>
          <w:sz w:val="24"/>
          <w:szCs w:val="24"/>
        </w:rPr>
        <w:t xml:space="preserve"> &amp; Holding proves that transgender workers are protected from any form of discrimination. In this case, Nicole </w:t>
      </w:r>
      <w:proofErr w:type="spellStart"/>
      <w:r w:rsidRPr="00585E76">
        <w:rPr>
          <w:rFonts w:ascii="Times New Roman" w:hAnsi="Times New Roman" w:cs="Times New Roman"/>
          <w:sz w:val="24"/>
          <w:szCs w:val="24"/>
        </w:rPr>
        <w:t>Wittmer</w:t>
      </w:r>
      <w:proofErr w:type="spellEnd"/>
      <w:r w:rsidRPr="00585E76">
        <w:rPr>
          <w:rFonts w:ascii="Times New Roman" w:hAnsi="Times New Roman" w:cs="Times New Roman"/>
          <w:sz w:val="24"/>
          <w:szCs w:val="24"/>
        </w:rPr>
        <w:t xml:space="preserve">, the complaint, is a transgender woman who had filed a suit against the defendant, Phillips 66 Company for gender discrimination. The complaint stipulated that her job was retracted after the company found that she was transgender (Fox &amp; Clark, 2018). While on the other side, the company had claimed that the </w:t>
      </w:r>
      <w:proofErr w:type="spellStart"/>
      <w:r w:rsidRPr="00585E76">
        <w:rPr>
          <w:rFonts w:ascii="Times New Roman" w:hAnsi="Times New Roman" w:cs="Times New Roman"/>
          <w:sz w:val="24"/>
          <w:szCs w:val="24"/>
        </w:rPr>
        <w:t>Wittmer</w:t>
      </w:r>
      <w:proofErr w:type="spellEnd"/>
      <w:r w:rsidRPr="00585E76">
        <w:rPr>
          <w:rFonts w:ascii="Times New Roman" w:hAnsi="Times New Roman" w:cs="Times New Roman"/>
          <w:sz w:val="24"/>
          <w:szCs w:val="24"/>
        </w:rPr>
        <w:t xml:space="preserve"> has lied during the interview. The case was ruled by a Chief Judge, Lee Rosenthal who rejected the company’s claims and emphasized that the complaint’s transgender status was safeguarded by the federal law. This was a monumental determination about </w:t>
      </w:r>
      <w:r w:rsidR="00EC697B" w:rsidRPr="00585E76">
        <w:rPr>
          <w:rFonts w:ascii="Times New Roman" w:hAnsi="Times New Roman" w:cs="Times New Roman"/>
          <w:sz w:val="24"/>
          <w:szCs w:val="24"/>
        </w:rPr>
        <w:t>transgender employees in Texas.</w:t>
      </w:r>
    </w:p>
    <w:p w:rsidR="00043D4A" w:rsidRPr="00585E76" w:rsidRDefault="00043D4A" w:rsidP="00585E76">
      <w:pPr>
        <w:spacing w:line="480" w:lineRule="auto"/>
        <w:ind w:firstLine="720"/>
        <w:rPr>
          <w:rFonts w:ascii="Times New Roman" w:hAnsi="Times New Roman" w:cs="Times New Roman"/>
          <w:sz w:val="24"/>
          <w:szCs w:val="24"/>
        </w:rPr>
      </w:pPr>
      <w:r w:rsidRPr="00585E76">
        <w:rPr>
          <w:rFonts w:ascii="Times New Roman" w:hAnsi="Times New Roman" w:cs="Times New Roman"/>
          <w:sz w:val="24"/>
          <w:szCs w:val="24"/>
        </w:rPr>
        <w:t xml:space="preserve">Texas has also implemented regulations to protect employees who act as whistleblowers. To encourage workers to report legal, environmental, and other violations in a company, the state has implemented whistleblower laws to safeguard workers from being suspended by their employers. The only employee in the public sector is safeguarded from employer retaliation. The employee may sue so get paid and damages encountered. </w:t>
      </w:r>
    </w:p>
    <w:p w:rsidR="002279C6" w:rsidRPr="00585E76" w:rsidRDefault="000D426E" w:rsidP="00585E76">
      <w:pPr>
        <w:spacing w:line="480" w:lineRule="auto"/>
        <w:ind w:firstLine="720"/>
        <w:rPr>
          <w:rFonts w:ascii="Times New Roman" w:hAnsi="Times New Roman" w:cs="Times New Roman"/>
          <w:sz w:val="24"/>
          <w:szCs w:val="24"/>
        </w:rPr>
      </w:pPr>
      <w:r w:rsidRPr="000D426E">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00043D4A" w:rsidRPr="00585E76">
        <w:rPr>
          <w:rFonts w:ascii="Times New Roman" w:hAnsi="Times New Roman" w:cs="Times New Roman"/>
          <w:sz w:val="24"/>
          <w:szCs w:val="24"/>
        </w:rPr>
        <w:t xml:space="preserve">aving evaluated the laws and regulations set in Texas to protect employees from the race, gender discrimination, and whistleblowing retaliation, it is clear that in Texas, workers are protected from all form of exploitation and discrimination. Additionally, Chapter 12 of the Texas Labor Code and the Civil Rights Act of 1964 protects workers from all </w:t>
      </w:r>
      <w:r w:rsidR="00043D4A" w:rsidRPr="00585E76">
        <w:rPr>
          <w:rFonts w:ascii="Times New Roman" w:hAnsi="Times New Roman" w:cs="Times New Roman"/>
          <w:sz w:val="24"/>
          <w:szCs w:val="24"/>
        </w:rPr>
        <w:lastRenderedPageBreak/>
        <w:t xml:space="preserve">forms of discrimination that they are likely to face in their workplace. Employees who are discriminated can file a suit to be compensated for the damaged caused.            </w:t>
      </w:r>
    </w:p>
    <w:p w:rsidR="00585E76" w:rsidRPr="00585E76" w:rsidRDefault="00585E76" w:rsidP="00585E76">
      <w:pPr>
        <w:spacing w:line="480" w:lineRule="auto"/>
        <w:rPr>
          <w:rFonts w:ascii="Times New Roman" w:hAnsi="Times New Roman" w:cs="Times New Roman"/>
          <w:sz w:val="24"/>
          <w:szCs w:val="24"/>
        </w:rPr>
      </w:pPr>
      <w:r w:rsidRPr="00585E76">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240709228"/>
        <w:docPartObj>
          <w:docPartGallery w:val="Bibliographies"/>
          <w:docPartUnique/>
        </w:docPartObj>
      </w:sdtPr>
      <w:sdtEndPr/>
      <w:sdtContent>
        <w:p w:rsidR="00585E76" w:rsidRPr="00585E76" w:rsidRDefault="00585E76" w:rsidP="00585E76">
          <w:pPr>
            <w:pStyle w:val="Heading1"/>
            <w:spacing w:line="480" w:lineRule="auto"/>
            <w:jc w:val="center"/>
            <w:rPr>
              <w:rFonts w:ascii="Times New Roman" w:hAnsi="Times New Roman" w:cs="Times New Roman"/>
              <w:color w:val="auto"/>
              <w:sz w:val="24"/>
              <w:szCs w:val="24"/>
            </w:rPr>
          </w:pPr>
          <w:r w:rsidRPr="00585E7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585E76" w:rsidRPr="00585E76" w:rsidRDefault="00585E76" w:rsidP="00585E76">
              <w:pPr>
                <w:pStyle w:val="Bibliography"/>
                <w:spacing w:line="480" w:lineRule="auto"/>
                <w:ind w:left="720" w:hanging="720"/>
                <w:rPr>
                  <w:rFonts w:ascii="Times New Roman" w:hAnsi="Times New Roman" w:cs="Times New Roman"/>
                  <w:noProof/>
                  <w:sz w:val="24"/>
                  <w:szCs w:val="24"/>
                </w:rPr>
              </w:pPr>
              <w:r w:rsidRPr="00585E76">
                <w:rPr>
                  <w:rFonts w:ascii="Times New Roman" w:hAnsi="Times New Roman" w:cs="Times New Roman"/>
                  <w:sz w:val="24"/>
                  <w:szCs w:val="24"/>
                </w:rPr>
                <w:fldChar w:fldCharType="begin"/>
              </w:r>
              <w:r w:rsidRPr="00585E76">
                <w:rPr>
                  <w:rFonts w:ascii="Times New Roman" w:hAnsi="Times New Roman" w:cs="Times New Roman"/>
                  <w:sz w:val="24"/>
                  <w:szCs w:val="24"/>
                </w:rPr>
                <w:instrText xml:space="preserve"> BIBLIOGRAPHY </w:instrText>
              </w:r>
              <w:r w:rsidRPr="00585E76">
                <w:rPr>
                  <w:rFonts w:ascii="Times New Roman" w:hAnsi="Times New Roman" w:cs="Times New Roman"/>
                  <w:sz w:val="24"/>
                  <w:szCs w:val="24"/>
                </w:rPr>
                <w:fldChar w:fldCharType="separate"/>
              </w:r>
              <w:r w:rsidRPr="00585E76">
                <w:rPr>
                  <w:rFonts w:ascii="Times New Roman" w:hAnsi="Times New Roman" w:cs="Times New Roman"/>
                  <w:noProof/>
                  <w:sz w:val="24"/>
                  <w:szCs w:val="24"/>
                </w:rPr>
                <w:t xml:space="preserve">FindLaw. (2019). </w:t>
              </w:r>
              <w:r w:rsidRPr="00585E76">
                <w:rPr>
                  <w:rFonts w:ascii="Times New Roman" w:hAnsi="Times New Roman" w:cs="Times New Roman"/>
                  <w:i/>
                  <w:iCs/>
                  <w:noProof/>
                  <w:sz w:val="24"/>
                  <w:szCs w:val="24"/>
                </w:rPr>
                <w:t>Texas Employment Laws.</w:t>
              </w:r>
              <w:r w:rsidRPr="00585E76">
                <w:rPr>
                  <w:rFonts w:ascii="Times New Roman" w:hAnsi="Times New Roman" w:cs="Times New Roman"/>
                  <w:noProof/>
                  <w:sz w:val="24"/>
                  <w:szCs w:val="24"/>
                </w:rPr>
                <w:t xml:space="preserve"> Retrieved from https://statelaws.findlaw.com/texas-law/texas-employment-laws.html</w:t>
              </w:r>
            </w:p>
            <w:p w:rsidR="00585E76" w:rsidRPr="00585E76" w:rsidRDefault="00585E76" w:rsidP="00585E76">
              <w:pPr>
                <w:pStyle w:val="Bibliography"/>
                <w:spacing w:line="480" w:lineRule="auto"/>
                <w:ind w:left="720" w:hanging="720"/>
                <w:rPr>
                  <w:rFonts w:ascii="Times New Roman" w:hAnsi="Times New Roman" w:cs="Times New Roman"/>
                  <w:noProof/>
                  <w:sz w:val="24"/>
                  <w:szCs w:val="24"/>
                </w:rPr>
              </w:pPr>
              <w:r w:rsidRPr="00585E76">
                <w:rPr>
                  <w:rFonts w:ascii="Times New Roman" w:hAnsi="Times New Roman" w:cs="Times New Roman"/>
                  <w:noProof/>
                  <w:sz w:val="24"/>
                  <w:szCs w:val="24"/>
                </w:rPr>
                <w:t xml:space="preserve">Fox , S. &amp; Clark, J. (2018, April 19). </w:t>
              </w:r>
              <w:r w:rsidRPr="00585E76">
                <w:rPr>
                  <w:rFonts w:ascii="Times New Roman" w:hAnsi="Times New Roman" w:cs="Times New Roman"/>
                  <w:i/>
                  <w:iCs/>
                  <w:noProof/>
                  <w:sz w:val="24"/>
                  <w:szCs w:val="24"/>
                </w:rPr>
                <w:t>Texas Federal Court Rules That Anti-Discrimination Statute Protects Transgender Individuals.</w:t>
              </w:r>
              <w:r w:rsidRPr="00585E76">
                <w:rPr>
                  <w:rFonts w:ascii="Times New Roman" w:hAnsi="Times New Roman" w:cs="Times New Roman"/>
                  <w:noProof/>
                  <w:sz w:val="24"/>
                  <w:szCs w:val="24"/>
                </w:rPr>
                <w:t xml:space="preserve"> Retrieved from https://www.laboremploymentlawblog.com/2018/04/articles/discrimination/titlevii-protects-transgender-individuals/</w:t>
              </w:r>
            </w:p>
            <w:p w:rsidR="00585E76" w:rsidRPr="00585E76" w:rsidRDefault="00585E76" w:rsidP="00585E76">
              <w:pPr>
                <w:pStyle w:val="Bibliography"/>
                <w:spacing w:line="480" w:lineRule="auto"/>
                <w:ind w:left="720" w:hanging="720"/>
                <w:rPr>
                  <w:rFonts w:ascii="Times New Roman" w:hAnsi="Times New Roman" w:cs="Times New Roman"/>
                  <w:noProof/>
                  <w:sz w:val="24"/>
                  <w:szCs w:val="24"/>
                </w:rPr>
              </w:pPr>
              <w:r w:rsidRPr="00585E76">
                <w:rPr>
                  <w:rFonts w:ascii="Times New Roman" w:hAnsi="Times New Roman" w:cs="Times New Roman"/>
                  <w:noProof/>
                  <w:sz w:val="24"/>
                  <w:szCs w:val="24"/>
                </w:rPr>
                <w:t xml:space="preserve">Texas Workforce Commission. (2019, January 17). </w:t>
              </w:r>
              <w:r w:rsidRPr="00585E76">
                <w:rPr>
                  <w:rFonts w:ascii="Times New Roman" w:hAnsi="Times New Roman" w:cs="Times New Roman"/>
                  <w:i/>
                  <w:iCs/>
                  <w:noProof/>
                  <w:sz w:val="24"/>
                  <w:szCs w:val="24"/>
                </w:rPr>
                <w:t>Racial Discrimination.</w:t>
              </w:r>
              <w:r w:rsidRPr="00585E76">
                <w:rPr>
                  <w:rFonts w:ascii="Times New Roman" w:hAnsi="Times New Roman" w:cs="Times New Roman"/>
                  <w:noProof/>
                  <w:sz w:val="24"/>
                  <w:szCs w:val="24"/>
                </w:rPr>
                <w:t xml:space="preserve"> Retrieved from https://twc.texas.gov/jobseekers/racial-discrimination</w:t>
              </w:r>
            </w:p>
            <w:p w:rsidR="00585E76" w:rsidRPr="00585E76" w:rsidRDefault="00585E76" w:rsidP="00585E76">
              <w:pPr>
                <w:spacing w:line="480" w:lineRule="auto"/>
                <w:rPr>
                  <w:rFonts w:ascii="Times New Roman" w:hAnsi="Times New Roman" w:cs="Times New Roman"/>
                  <w:sz w:val="24"/>
                  <w:szCs w:val="24"/>
                </w:rPr>
              </w:pPr>
              <w:r w:rsidRPr="00585E76">
                <w:rPr>
                  <w:rFonts w:ascii="Times New Roman" w:hAnsi="Times New Roman" w:cs="Times New Roman"/>
                  <w:b/>
                  <w:bCs/>
                  <w:noProof/>
                  <w:sz w:val="24"/>
                  <w:szCs w:val="24"/>
                </w:rPr>
                <w:fldChar w:fldCharType="end"/>
              </w:r>
            </w:p>
          </w:sdtContent>
        </w:sdt>
      </w:sdtContent>
    </w:sdt>
    <w:p w:rsidR="00585E76" w:rsidRPr="00585E76" w:rsidRDefault="00585E76" w:rsidP="00585E76">
      <w:pPr>
        <w:spacing w:line="480" w:lineRule="auto"/>
        <w:rPr>
          <w:rFonts w:ascii="Times New Roman" w:hAnsi="Times New Roman" w:cs="Times New Roman"/>
          <w:sz w:val="24"/>
          <w:szCs w:val="24"/>
        </w:rPr>
      </w:pPr>
    </w:p>
    <w:sectPr w:rsidR="00585E76" w:rsidRPr="00585E76" w:rsidSect="008972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E93" w:rsidRDefault="00965E93" w:rsidP="008972D3">
      <w:pPr>
        <w:spacing w:after="0" w:line="240" w:lineRule="auto"/>
      </w:pPr>
      <w:r>
        <w:separator/>
      </w:r>
    </w:p>
  </w:endnote>
  <w:endnote w:type="continuationSeparator" w:id="0">
    <w:p w:rsidR="00965E93" w:rsidRDefault="00965E93" w:rsidP="00897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E93" w:rsidRDefault="00965E93" w:rsidP="008972D3">
      <w:pPr>
        <w:spacing w:after="0" w:line="240" w:lineRule="auto"/>
      </w:pPr>
      <w:r>
        <w:separator/>
      </w:r>
    </w:p>
  </w:footnote>
  <w:footnote w:type="continuationSeparator" w:id="0">
    <w:p w:rsidR="00965E93" w:rsidRDefault="00965E93" w:rsidP="008972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E76" w:rsidRPr="00585E76" w:rsidRDefault="00585E76">
    <w:pPr>
      <w:pStyle w:val="Header"/>
      <w:rPr>
        <w:rFonts w:ascii="Times New Roman" w:hAnsi="Times New Roman" w:cs="Times New Roman"/>
        <w:sz w:val="24"/>
        <w:szCs w:val="24"/>
      </w:rPr>
    </w:pPr>
    <w:r w:rsidRPr="00585E76">
      <w:rPr>
        <w:rFonts w:ascii="Times New Roman" w:hAnsi="Times New Roman" w:cs="Times New Roman"/>
        <w:sz w:val="24"/>
        <w:szCs w:val="24"/>
      </w:rPr>
      <w:t xml:space="preserve">WORKERS' PROTECTIONS </w:t>
    </w:r>
    <w:r w:rsidRPr="00585E76">
      <w:rPr>
        <w:rFonts w:ascii="Times New Roman" w:hAnsi="Times New Roman" w:cs="Times New Roman"/>
        <w:sz w:val="24"/>
        <w:szCs w:val="24"/>
      </w:rPr>
      <w:tab/>
    </w:r>
    <w:r w:rsidRPr="00585E76">
      <w:rPr>
        <w:rFonts w:ascii="Times New Roman" w:hAnsi="Times New Roman" w:cs="Times New Roman"/>
        <w:sz w:val="24"/>
        <w:szCs w:val="24"/>
      </w:rPr>
      <w:tab/>
    </w:r>
    <w:sdt>
      <w:sdtPr>
        <w:rPr>
          <w:rFonts w:ascii="Times New Roman" w:hAnsi="Times New Roman" w:cs="Times New Roman"/>
          <w:sz w:val="24"/>
          <w:szCs w:val="24"/>
        </w:rPr>
        <w:id w:val="1315142153"/>
        <w:docPartObj>
          <w:docPartGallery w:val="Page Numbers (Top of Page)"/>
          <w:docPartUnique/>
        </w:docPartObj>
      </w:sdtPr>
      <w:sdtEndPr>
        <w:rPr>
          <w:noProof/>
        </w:rPr>
      </w:sdtEndPr>
      <w:sdtContent>
        <w:r w:rsidRPr="00585E76">
          <w:rPr>
            <w:rFonts w:ascii="Times New Roman" w:hAnsi="Times New Roman" w:cs="Times New Roman"/>
            <w:sz w:val="24"/>
            <w:szCs w:val="24"/>
          </w:rPr>
          <w:fldChar w:fldCharType="begin"/>
        </w:r>
        <w:r w:rsidRPr="00585E76">
          <w:rPr>
            <w:rFonts w:ascii="Times New Roman" w:hAnsi="Times New Roman" w:cs="Times New Roman"/>
            <w:sz w:val="24"/>
            <w:szCs w:val="24"/>
          </w:rPr>
          <w:instrText xml:space="preserve"> PAGE   \* MERGEFORMAT </w:instrText>
        </w:r>
        <w:r w:rsidRPr="00585E76">
          <w:rPr>
            <w:rFonts w:ascii="Times New Roman" w:hAnsi="Times New Roman" w:cs="Times New Roman"/>
            <w:sz w:val="24"/>
            <w:szCs w:val="24"/>
          </w:rPr>
          <w:fldChar w:fldCharType="separate"/>
        </w:r>
        <w:r w:rsidR="00314F68">
          <w:rPr>
            <w:rFonts w:ascii="Times New Roman" w:hAnsi="Times New Roman" w:cs="Times New Roman"/>
            <w:noProof/>
            <w:sz w:val="24"/>
            <w:szCs w:val="24"/>
          </w:rPr>
          <w:t>4</w:t>
        </w:r>
        <w:r w:rsidRPr="00585E76">
          <w:rPr>
            <w:rFonts w:ascii="Times New Roman" w:hAnsi="Times New Roman" w:cs="Times New Roman"/>
            <w:noProof/>
            <w:sz w:val="24"/>
            <w:szCs w:val="24"/>
          </w:rPr>
          <w:fldChar w:fldCharType="end"/>
        </w:r>
      </w:sdtContent>
    </w:sdt>
  </w:p>
  <w:p w:rsidR="00585E76" w:rsidRPr="00585E76" w:rsidRDefault="00585E7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6791238"/>
      <w:docPartObj>
        <w:docPartGallery w:val="Page Numbers (Top of Page)"/>
        <w:docPartUnique/>
      </w:docPartObj>
    </w:sdtPr>
    <w:sdtEndPr>
      <w:rPr>
        <w:noProof/>
      </w:rPr>
    </w:sdtEndPr>
    <w:sdtContent>
      <w:p w:rsidR="000D426E" w:rsidRPr="000D426E" w:rsidRDefault="000D426E" w:rsidP="000D426E">
        <w:pPr>
          <w:pStyle w:val="Header"/>
          <w:jc w:val="right"/>
          <w:rPr>
            <w:rFonts w:ascii="Times New Roman" w:hAnsi="Times New Roman" w:cs="Times New Roman"/>
            <w:sz w:val="24"/>
            <w:szCs w:val="24"/>
          </w:rPr>
        </w:pPr>
        <w:r w:rsidRPr="000D426E">
          <w:rPr>
            <w:rFonts w:ascii="Times New Roman" w:hAnsi="Times New Roman" w:cs="Times New Roman"/>
            <w:sz w:val="24"/>
            <w:szCs w:val="24"/>
          </w:rPr>
          <w:t>Running head: WORKERS' PROTECTIONS</w:t>
        </w:r>
        <w:r>
          <w:rPr>
            <w:rFonts w:ascii="Times New Roman" w:hAnsi="Times New Roman" w:cs="Times New Roman"/>
            <w:sz w:val="24"/>
            <w:szCs w:val="24"/>
          </w:rPr>
          <w:t xml:space="preserve">                                                                                 </w:t>
        </w:r>
        <w:r w:rsidRPr="000D426E">
          <w:rPr>
            <w:rFonts w:ascii="Times New Roman" w:hAnsi="Times New Roman" w:cs="Times New Roman"/>
            <w:sz w:val="24"/>
            <w:szCs w:val="24"/>
          </w:rPr>
          <w:fldChar w:fldCharType="begin"/>
        </w:r>
        <w:r w:rsidRPr="000D426E">
          <w:rPr>
            <w:rFonts w:ascii="Times New Roman" w:hAnsi="Times New Roman" w:cs="Times New Roman"/>
            <w:sz w:val="24"/>
            <w:szCs w:val="24"/>
          </w:rPr>
          <w:instrText xml:space="preserve"> PAGE   \* MERGEFORMAT </w:instrText>
        </w:r>
        <w:r w:rsidRPr="000D426E">
          <w:rPr>
            <w:rFonts w:ascii="Times New Roman" w:hAnsi="Times New Roman" w:cs="Times New Roman"/>
            <w:sz w:val="24"/>
            <w:szCs w:val="24"/>
          </w:rPr>
          <w:fldChar w:fldCharType="separate"/>
        </w:r>
        <w:r w:rsidR="00314F68">
          <w:rPr>
            <w:rFonts w:ascii="Times New Roman" w:hAnsi="Times New Roman" w:cs="Times New Roman"/>
            <w:noProof/>
            <w:sz w:val="24"/>
            <w:szCs w:val="24"/>
          </w:rPr>
          <w:t>1</w:t>
        </w:r>
        <w:r w:rsidRPr="000D426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684"/>
    <w:rsid w:val="000068C0"/>
    <w:rsid w:val="00022FC3"/>
    <w:rsid w:val="0003688E"/>
    <w:rsid w:val="00042BA3"/>
    <w:rsid w:val="00043D4A"/>
    <w:rsid w:val="0004582F"/>
    <w:rsid w:val="00047969"/>
    <w:rsid w:val="00055BD8"/>
    <w:rsid w:val="000670DF"/>
    <w:rsid w:val="000855EC"/>
    <w:rsid w:val="00085F8F"/>
    <w:rsid w:val="000925EE"/>
    <w:rsid w:val="00092D2B"/>
    <w:rsid w:val="000A3C95"/>
    <w:rsid w:val="000C588F"/>
    <w:rsid w:val="000C5E7D"/>
    <w:rsid w:val="000D18FB"/>
    <w:rsid w:val="000D426E"/>
    <w:rsid w:val="000D4A56"/>
    <w:rsid w:val="000D5D68"/>
    <w:rsid w:val="000D7951"/>
    <w:rsid w:val="00102971"/>
    <w:rsid w:val="00110058"/>
    <w:rsid w:val="00121D5C"/>
    <w:rsid w:val="0012540A"/>
    <w:rsid w:val="00177403"/>
    <w:rsid w:val="00184B40"/>
    <w:rsid w:val="001879F8"/>
    <w:rsid w:val="00192541"/>
    <w:rsid w:val="001A30EC"/>
    <w:rsid w:val="001E4B25"/>
    <w:rsid w:val="001E4C7A"/>
    <w:rsid w:val="001F47A6"/>
    <w:rsid w:val="001F63C7"/>
    <w:rsid w:val="00205F1D"/>
    <w:rsid w:val="00216FA0"/>
    <w:rsid w:val="002279C6"/>
    <w:rsid w:val="002607F6"/>
    <w:rsid w:val="002640DB"/>
    <w:rsid w:val="002839AC"/>
    <w:rsid w:val="00291F12"/>
    <w:rsid w:val="00293C42"/>
    <w:rsid w:val="002A19F0"/>
    <w:rsid w:val="002A3033"/>
    <w:rsid w:val="002A3099"/>
    <w:rsid w:val="002C4A3C"/>
    <w:rsid w:val="002C58B4"/>
    <w:rsid w:val="002E1F74"/>
    <w:rsid w:val="003003F1"/>
    <w:rsid w:val="00301339"/>
    <w:rsid w:val="00314F68"/>
    <w:rsid w:val="003177FC"/>
    <w:rsid w:val="00317997"/>
    <w:rsid w:val="00323703"/>
    <w:rsid w:val="0032466E"/>
    <w:rsid w:val="003419BB"/>
    <w:rsid w:val="00352195"/>
    <w:rsid w:val="003642C4"/>
    <w:rsid w:val="003842A3"/>
    <w:rsid w:val="00384780"/>
    <w:rsid w:val="00384DEA"/>
    <w:rsid w:val="003923BD"/>
    <w:rsid w:val="00392DA2"/>
    <w:rsid w:val="003A3253"/>
    <w:rsid w:val="003B4A25"/>
    <w:rsid w:val="003B4FF4"/>
    <w:rsid w:val="003E20F9"/>
    <w:rsid w:val="003E70C1"/>
    <w:rsid w:val="003E7B73"/>
    <w:rsid w:val="003F275F"/>
    <w:rsid w:val="003F3E49"/>
    <w:rsid w:val="0040266A"/>
    <w:rsid w:val="00407762"/>
    <w:rsid w:val="00424892"/>
    <w:rsid w:val="00426B67"/>
    <w:rsid w:val="004274FF"/>
    <w:rsid w:val="00430CD1"/>
    <w:rsid w:val="0043741A"/>
    <w:rsid w:val="00442875"/>
    <w:rsid w:val="0044619E"/>
    <w:rsid w:val="00471388"/>
    <w:rsid w:val="00474AFF"/>
    <w:rsid w:val="004818EB"/>
    <w:rsid w:val="00483EE9"/>
    <w:rsid w:val="00484D57"/>
    <w:rsid w:val="004871C3"/>
    <w:rsid w:val="00487B49"/>
    <w:rsid w:val="00495686"/>
    <w:rsid w:val="004A3D49"/>
    <w:rsid w:val="004C3E8D"/>
    <w:rsid w:val="004D4EFF"/>
    <w:rsid w:val="004E5504"/>
    <w:rsid w:val="004F1A4B"/>
    <w:rsid w:val="004F5FDB"/>
    <w:rsid w:val="005127EB"/>
    <w:rsid w:val="00515DAF"/>
    <w:rsid w:val="00527B0D"/>
    <w:rsid w:val="00541D23"/>
    <w:rsid w:val="00560E8C"/>
    <w:rsid w:val="00570D78"/>
    <w:rsid w:val="005778BC"/>
    <w:rsid w:val="00585E76"/>
    <w:rsid w:val="00590337"/>
    <w:rsid w:val="005D7874"/>
    <w:rsid w:val="005E0545"/>
    <w:rsid w:val="005F4434"/>
    <w:rsid w:val="00602AE0"/>
    <w:rsid w:val="00634F8C"/>
    <w:rsid w:val="00644872"/>
    <w:rsid w:val="006538FE"/>
    <w:rsid w:val="00665A1E"/>
    <w:rsid w:val="00680B70"/>
    <w:rsid w:val="00697E23"/>
    <w:rsid w:val="006B0A29"/>
    <w:rsid w:val="006C22F5"/>
    <w:rsid w:val="006C3154"/>
    <w:rsid w:val="006C3290"/>
    <w:rsid w:val="00700AE8"/>
    <w:rsid w:val="0070117B"/>
    <w:rsid w:val="00702322"/>
    <w:rsid w:val="00712373"/>
    <w:rsid w:val="007141AF"/>
    <w:rsid w:val="00714BD7"/>
    <w:rsid w:val="00717B1E"/>
    <w:rsid w:val="00731A1D"/>
    <w:rsid w:val="007438CA"/>
    <w:rsid w:val="007454E7"/>
    <w:rsid w:val="0076548B"/>
    <w:rsid w:val="00765A00"/>
    <w:rsid w:val="007771C5"/>
    <w:rsid w:val="0078110A"/>
    <w:rsid w:val="00790E98"/>
    <w:rsid w:val="007A1881"/>
    <w:rsid w:val="007A23BA"/>
    <w:rsid w:val="007A772E"/>
    <w:rsid w:val="007B1629"/>
    <w:rsid w:val="007B22D7"/>
    <w:rsid w:val="007B6F1F"/>
    <w:rsid w:val="007D068C"/>
    <w:rsid w:val="00802F27"/>
    <w:rsid w:val="0080361E"/>
    <w:rsid w:val="008049DE"/>
    <w:rsid w:val="008175B5"/>
    <w:rsid w:val="008227EA"/>
    <w:rsid w:val="00833E4B"/>
    <w:rsid w:val="00836095"/>
    <w:rsid w:val="00836358"/>
    <w:rsid w:val="00846700"/>
    <w:rsid w:val="00855069"/>
    <w:rsid w:val="00874484"/>
    <w:rsid w:val="00881D8D"/>
    <w:rsid w:val="008878B5"/>
    <w:rsid w:val="008947C5"/>
    <w:rsid w:val="008972D3"/>
    <w:rsid w:val="008B3ED3"/>
    <w:rsid w:val="008B5678"/>
    <w:rsid w:val="008B5680"/>
    <w:rsid w:val="008C0D81"/>
    <w:rsid w:val="008C5710"/>
    <w:rsid w:val="008E69EA"/>
    <w:rsid w:val="00907B9B"/>
    <w:rsid w:val="0093499B"/>
    <w:rsid w:val="00937AB8"/>
    <w:rsid w:val="00954830"/>
    <w:rsid w:val="00965E93"/>
    <w:rsid w:val="00974A75"/>
    <w:rsid w:val="0098114C"/>
    <w:rsid w:val="00984751"/>
    <w:rsid w:val="009A1B9A"/>
    <w:rsid w:val="009A31C7"/>
    <w:rsid w:val="009A4562"/>
    <w:rsid w:val="009A6E9C"/>
    <w:rsid w:val="009B30AF"/>
    <w:rsid w:val="009B5A19"/>
    <w:rsid w:val="009C3318"/>
    <w:rsid w:val="009C3DEB"/>
    <w:rsid w:val="009D1D6E"/>
    <w:rsid w:val="009D48AE"/>
    <w:rsid w:val="009E3321"/>
    <w:rsid w:val="00A16CB6"/>
    <w:rsid w:val="00A27C9C"/>
    <w:rsid w:val="00A33074"/>
    <w:rsid w:val="00A34D20"/>
    <w:rsid w:val="00A47CC1"/>
    <w:rsid w:val="00A506BB"/>
    <w:rsid w:val="00A5602E"/>
    <w:rsid w:val="00A65618"/>
    <w:rsid w:val="00A67A66"/>
    <w:rsid w:val="00A7621D"/>
    <w:rsid w:val="00A86991"/>
    <w:rsid w:val="00A91FCC"/>
    <w:rsid w:val="00A963E0"/>
    <w:rsid w:val="00AA3882"/>
    <w:rsid w:val="00AC72AD"/>
    <w:rsid w:val="00AD2011"/>
    <w:rsid w:val="00AF5CE6"/>
    <w:rsid w:val="00B06B07"/>
    <w:rsid w:val="00B16792"/>
    <w:rsid w:val="00B34820"/>
    <w:rsid w:val="00B455AA"/>
    <w:rsid w:val="00B6373E"/>
    <w:rsid w:val="00B75E00"/>
    <w:rsid w:val="00B81536"/>
    <w:rsid w:val="00B83684"/>
    <w:rsid w:val="00B87553"/>
    <w:rsid w:val="00B903F7"/>
    <w:rsid w:val="00BA07EC"/>
    <w:rsid w:val="00BA7B6D"/>
    <w:rsid w:val="00BA7CEE"/>
    <w:rsid w:val="00BC31F8"/>
    <w:rsid w:val="00BD4CC1"/>
    <w:rsid w:val="00BE1A65"/>
    <w:rsid w:val="00BE5F5D"/>
    <w:rsid w:val="00BF688A"/>
    <w:rsid w:val="00BF6C82"/>
    <w:rsid w:val="00C00014"/>
    <w:rsid w:val="00C02FBF"/>
    <w:rsid w:val="00C16B46"/>
    <w:rsid w:val="00C1741B"/>
    <w:rsid w:val="00C2013F"/>
    <w:rsid w:val="00C23529"/>
    <w:rsid w:val="00C23935"/>
    <w:rsid w:val="00C252E8"/>
    <w:rsid w:val="00C33D18"/>
    <w:rsid w:val="00C40251"/>
    <w:rsid w:val="00C71E92"/>
    <w:rsid w:val="00C7438D"/>
    <w:rsid w:val="00C75362"/>
    <w:rsid w:val="00C9057E"/>
    <w:rsid w:val="00CA65B1"/>
    <w:rsid w:val="00CA7FF8"/>
    <w:rsid w:val="00CB6EB1"/>
    <w:rsid w:val="00CC3DB3"/>
    <w:rsid w:val="00CE24AD"/>
    <w:rsid w:val="00CE4644"/>
    <w:rsid w:val="00CE6A16"/>
    <w:rsid w:val="00CF60AA"/>
    <w:rsid w:val="00D00F10"/>
    <w:rsid w:val="00D15B06"/>
    <w:rsid w:val="00D177E8"/>
    <w:rsid w:val="00D21AFE"/>
    <w:rsid w:val="00D246A7"/>
    <w:rsid w:val="00D341F3"/>
    <w:rsid w:val="00D36842"/>
    <w:rsid w:val="00D57A14"/>
    <w:rsid w:val="00D61248"/>
    <w:rsid w:val="00D779C4"/>
    <w:rsid w:val="00D82094"/>
    <w:rsid w:val="00D866E6"/>
    <w:rsid w:val="00DA36A1"/>
    <w:rsid w:val="00DA3CE9"/>
    <w:rsid w:val="00DA6DF3"/>
    <w:rsid w:val="00DC287C"/>
    <w:rsid w:val="00DD0C68"/>
    <w:rsid w:val="00DE2A8F"/>
    <w:rsid w:val="00DE499E"/>
    <w:rsid w:val="00E21F6C"/>
    <w:rsid w:val="00E31D7A"/>
    <w:rsid w:val="00E333DC"/>
    <w:rsid w:val="00E40ED1"/>
    <w:rsid w:val="00E44D49"/>
    <w:rsid w:val="00E655B6"/>
    <w:rsid w:val="00E70A74"/>
    <w:rsid w:val="00E87566"/>
    <w:rsid w:val="00E916A5"/>
    <w:rsid w:val="00E94519"/>
    <w:rsid w:val="00E96B19"/>
    <w:rsid w:val="00EA07A6"/>
    <w:rsid w:val="00EB1A55"/>
    <w:rsid w:val="00EB30E0"/>
    <w:rsid w:val="00EB42F3"/>
    <w:rsid w:val="00EB783A"/>
    <w:rsid w:val="00EC3BB6"/>
    <w:rsid w:val="00EC697B"/>
    <w:rsid w:val="00ED281D"/>
    <w:rsid w:val="00ED2FC2"/>
    <w:rsid w:val="00ED4B67"/>
    <w:rsid w:val="00ED5C2F"/>
    <w:rsid w:val="00EE0E01"/>
    <w:rsid w:val="00EF3B65"/>
    <w:rsid w:val="00F16C53"/>
    <w:rsid w:val="00F2004B"/>
    <w:rsid w:val="00F205FF"/>
    <w:rsid w:val="00F20E03"/>
    <w:rsid w:val="00F30F2B"/>
    <w:rsid w:val="00F603EF"/>
    <w:rsid w:val="00F9758F"/>
    <w:rsid w:val="00FA4610"/>
    <w:rsid w:val="00FC385C"/>
    <w:rsid w:val="00FC7C1B"/>
    <w:rsid w:val="00FE0737"/>
    <w:rsid w:val="00FE0A75"/>
    <w:rsid w:val="00FE4219"/>
    <w:rsid w:val="00FF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5E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2D3"/>
  </w:style>
  <w:style w:type="paragraph" w:styleId="Footer">
    <w:name w:val="footer"/>
    <w:basedOn w:val="Normal"/>
    <w:link w:val="FooterChar"/>
    <w:uiPriority w:val="99"/>
    <w:unhideWhenUsed/>
    <w:rsid w:val="00897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2D3"/>
  </w:style>
  <w:style w:type="character" w:customStyle="1" w:styleId="Heading1Char">
    <w:name w:val="Heading 1 Char"/>
    <w:basedOn w:val="DefaultParagraphFont"/>
    <w:link w:val="Heading1"/>
    <w:uiPriority w:val="9"/>
    <w:rsid w:val="00585E7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85E76"/>
  </w:style>
  <w:style w:type="paragraph" w:styleId="BalloonText">
    <w:name w:val="Balloon Text"/>
    <w:basedOn w:val="Normal"/>
    <w:link w:val="BalloonTextChar"/>
    <w:uiPriority w:val="99"/>
    <w:semiHidden/>
    <w:unhideWhenUsed/>
    <w:rsid w:val="00187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9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5E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2D3"/>
  </w:style>
  <w:style w:type="paragraph" w:styleId="Footer">
    <w:name w:val="footer"/>
    <w:basedOn w:val="Normal"/>
    <w:link w:val="FooterChar"/>
    <w:uiPriority w:val="99"/>
    <w:unhideWhenUsed/>
    <w:rsid w:val="00897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2D3"/>
  </w:style>
  <w:style w:type="character" w:customStyle="1" w:styleId="Heading1Char">
    <w:name w:val="Heading 1 Char"/>
    <w:basedOn w:val="DefaultParagraphFont"/>
    <w:link w:val="Heading1"/>
    <w:uiPriority w:val="9"/>
    <w:rsid w:val="00585E7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85E76"/>
  </w:style>
  <w:style w:type="paragraph" w:styleId="BalloonText">
    <w:name w:val="Balloon Text"/>
    <w:basedOn w:val="Normal"/>
    <w:link w:val="BalloonTextChar"/>
    <w:uiPriority w:val="99"/>
    <w:semiHidden/>
    <w:unhideWhenUsed/>
    <w:rsid w:val="00187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9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89968">
      <w:bodyDiv w:val="1"/>
      <w:marLeft w:val="0"/>
      <w:marRight w:val="0"/>
      <w:marTop w:val="0"/>
      <w:marBottom w:val="0"/>
      <w:divBdr>
        <w:top w:val="none" w:sz="0" w:space="0" w:color="auto"/>
        <w:left w:val="none" w:sz="0" w:space="0" w:color="auto"/>
        <w:bottom w:val="none" w:sz="0" w:space="0" w:color="auto"/>
        <w:right w:val="none" w:sz="0" w:space="0" w:color="auto"/>
      </w:divBdr>
    </w:div>
    <w:div w:id="203562291">
      <w:bodyDiv w:val="1"/>
      <w:marLeft w:val="0"/>
      <w:marRight w:val="0"/>
      <w:marTop w:val="0"/>
      <w:marBottom w:val="0"/>
      <w:divBdr>
        <w:top w:val="none" w:sz="0" w:space="0" w:color="auto"/>
        <w:left w:val="none" w:sz="0" w:space="0" w:color="auto"/>
        <w:bottom w:val="none" w:sz="0" w:space="0" w:color="auto"/>
        <w:right w:val="none" w:sz="0" w:space="0" w:color="auto"/>
      </w:divBdr>
    </w:div>
    <w:div w:id="1596136814">
      <w:bodyDiv w:val="1"/>
      <w:marLeft w:val="0"/>
      <w:marRight w:val="0"/>
      <w:marTop w:val="0"/>
      <w:marBottom w:val="0"/>
      <w:divBdr>
        <w:top w:val="none" w:sz="0" w:space="0" w:color="auto"/>
        <w:left w:val="none" w:sz="0" w:space="0" w:color="auto"/>
        <w:bottom w:val="none" w:sz="0" w:space="0" w:color="auto"/>
        <w:right w:val="none" w:sz="0" w:space="0" w:color="auto"/>
      </w:divBdr>
    </w:div>
    <w:div w:id="165074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Fin19</b:Tag>
    <b:SourceType>DocumentFromInternetSite</b:SourceType>
    <b:Guid>{507F7357-BE44-408A-A422-8954215CC7F4}</b:Guid>
    <b:Author>
      <b:Author>
        <b:Corporate>FindLaw</b:Corporate>
      </b:Author>
    </b:Author>
    <b:Title>Texas Employment Laws</b:Title>
    <b:Year>2019</b:Year>
    <b:URL>https://statelaws.findlaw.com/texas-law/texas-employment-laws.html</b:URL>
    <b:RefOrder>1</b:RefOrder>
  </b:Source>
  <b:Source>
    <b:Tag>Tex19</b:Tag>
    <b:SourceType>DocumentFromInternetSite</b:SourceType>
    <b:Guid>{BC2D32CB-EFF7-4EE3-9C6B-90C94497B1D4}</b:Guid>
    <b:Author>
      <b:Author>
        <b:Corporate>Texas Workforce Commission</b:Corporate>
      </b:Author>
    </b:Author>
    <b:Title>Racial Discrimination</b:Title>
    <b:Year>2019</b:Year>
    <b:Month>January</b:Month>
    <b:Day>17</b:Day>
    <b:URL>https://twc.texas.gov/jobseekers/racial-discrimination</b:URL>
    <b:RefOrder>2</b:RefOrder>
  </b:Source>
  <b:Source>
    <b:Tag>Fox18</b:Tag>
    <b:SourceType>DocumentFromInternetSite</b:SourceType>
    <b:Guid>{221D3C13-1D9E-4451-85C4-CDC3CE0EE1A4}</b:Guid>
    <b:Title>Texas Federal Court Rules That Anti-Discrimination Statute Protects Transgender Individuals</b:Title>
    <b:Year>2018</b:Year>
    <b:Author>
      <b:Author>
        <b:Corporate>Fox , S. &amp; Clark, J.</b:Corporate>
      </b:Author>
    </b:Author>
    <b:Month>April</b:Month>
    <b:Day>19</b:Day>
    <b:URL>https://www.laboremploymentlawblog.com/2018/04/articles/discrimination/titlevii-protects-transgender-individuals/</b:URL>
    <b:RefOrder>3</b:RefOrder>
  </b:Source>
</b:Sources>
</file>

<file path=customXml/itemProps1.xml><?xml version="1.0" encoding="utf-8"?>
<ds:datastoreItem xmlns:ds="http://schemas.openxmlformats.org/officeDocument/2006/customXml" ds:itemID="{FE448413-E10C-41AB-B721-D4503D2B5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284</cp:revision>
  <dcterms:created xsi:type="dcterms:W3CDTF">2019-06-13T05:02:00Z</dcterms:created>
  <dcterms:modified xsi:type="dcterms:W3CDTF">2019-06-15T14:17:00Z</dcterms:modified>
</cp:coreProperties>
</file>